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EB" w:rsidRPr="00896C0E" w:rsidRDefault="00D272EB" w:rsidP="00D272EB">
      <w:pPr>
        <w:pStyle w:val="NoSpacing"/>
        <w:rPr>
          <w:sz w:val="24"/>
          <w:szCs w:val="24"/>
        </w:rPr>
      </w:pPr>
      <w:r w:rsidRPr="00896C0E">
        <w:rPr>
          <w:sz w:val="24"/>
          <w:szCs w:val="24"/>
        </w:rPr>
        <w:t>Grace Deng</w:t>
      </w:r>
    </w:p>
    <w:p w:rsidR="00D272EB" w:rsidRPr="00896C0E" w:rsidRDefault="00D272EB" w:rsidP="00D272EB">
      <w:pPr>
        <w:pStyle w:val="NoSpacing"/>
        <w:rPr>
          <w:sz w:val="24"/>
          <w:szCs w:val="24"/>
        </w:rPr>
      </w:pPr>
      <w:r w:rsidRPr="00896C0E">
        <w:rPr>
          <w:sz w:val="24"/>
          <w:szCs w:val="24"/>
        </w:rPr>
        <w:t>Fall 2016</w:t>
      </w:r>
    </w:p>
    <w:p w:rsidR="00D272EB" w:rsidRPr="00896C0E" w:rsidRDefault="00D272EB" w:rsidP="00D272EB">
      <w:pPr>
        <w:pStyle w:val="NoSpacing"/>
        <w:jc w:val="center"/>
        <w:rPr>
          <w:sz w:val="24"/>
          <w:szCs w:val="24"/>
        </w:rPr>
      </w:pPr>
      <w:r w:rsidRPr="00896C0E">
        <w:rPr>
          <w:sz w:val="24"/>
          <w:szCs w:val="24"/>
        </w:rPr>
        <w:t>Statistics Honor Thesis Proposal</w:t>
      </w:r>
    </w:p>
    <w:p w:rsidR="00D272EB" w:rsidRPr="00896C0E" w:rsidRDefault="00D272EB" w:rsidP="00D272EB">
      <w:pPr>
        <w:pStyle w:val="NoSpacing"/>
        <w:rPr>
          <w:sz w:val="24"/>
          <w:szCs w:val="24"/>
        </w:rPr>
      </w:pPr>
    </w:p>
    <w:p w:rsidR="009C4DC2" w:rsidRDefault="009C4DC2" w:rsidP="00DB3BD1">
      <w:pPr>
        <w:pStyle w:val="NoSpacing"/>
        <w:rPr>
          <w:sz w:val="24"/>
          <w:szCs w:val="24"/>
        </w:rPr>
      </w:pPr>
      <w:r>
        <w:rPr>
          <w:rFonts w:hint="eastAsia"/>
          <w:sz w:val="24"/>
          <w:szCs w:val="24"/>
        </w:rPr>
        <w:t>Purpose</w:t>
      </w:r>
    </w:p>
    <w:p w:rsidR="00DB3BD1" w:rsidRPr="00896C0E" w:rsidRDefault="00DB3BD1" w:rsidP="00DB3BD1">
      <w:pPr>
        <w:pStyle w:val="NoSpacing"/>
        <w:rPr>
          <w:rFonts w:hint="eastAsia"/>
          <w:sz w:val="24"/>
          <w:szCs w:val="24"/>
        </w:rPr>
      </w:pPr>
      <w:r w:rsidRPr="00896C0E">
        <w:rPr>
          <w:rFonts w:hint="eastAsia"/>
          <w:sz w:val="24"/>
          <w:szCs w:val="24"/>
        </w:rPr>
        <w:t>One of the major causes of the 2007 financial crisis was due to an overflow of subprime mortgages and resulting defaults. Before non-government agencies took over the mortgage-backed securities market, most mortgages adhered to the underwriting rules by agencies such as Fannie Mae and Freddie Mac. The goal of this project is to explore single-family loan performance data published by Fannie Mae and analyze the ri</w:t>
      </w:r>
      <w:r w:rsidR="001271FE">
        <w:rPr>
          <w:rFonts w:hint="eastAsia"/>
          <w:sz w:val="24"/>
          <w:szCs w:val="24"/>
        </w:rPr>
        <w:t>sk of default on mortgage loans</w:t>
      </w:r>
      <w:r w:rsidR="001271FE">
        <w:rPr>
          <w:sz w:val="24"/>
          <w:szCs w:val="24"/>
        </w:rPr>
        <w:t xml:space="preserve"> using a range of statistical techniques.</w:t>
      </w:r>
      <w:r w:rsidRPr="00896C0E">
        <w:rPr>
          <w:rFonts w:hint="eastAsia"/>
          <w:sz w:val="24"/>
          <w:szCs w:val="24"/>
        </w:rPr>
        <w:t xml:space="preserve">  The Fannie Mae website contains 15 years of data (2000-2015) on </w:t>
      </w:r>
      <w:r w:rsidR="00896C0E" w:rsidRPr="00896C0E">
        <w:rPr>
          <w:rFonts w:hint="eastAsia"/>
          <w:sz w:val="24"/>
          <w:szCs w:val="24"/>
        </w:rPr>
        <w:t xml:space="preserve">the acquisition and performances of </w:t>
      </w:r>
      <w:r w:rsidRPr="00896C0E">
        <w:rPr>
          <w:rFonts w:hint="eastAsia"/>
          <w:sz w:val="24"/>
          <w:szCs w:val="24"/>
        </w:rPr>
        <w:t xml:space="preserve">30-year fixed rate </w:t>
      </w:r>
      <w:r w:rsidR="00896C0E" w:rsidRPr="00896C0E">
        <w:rPr>
          <w:rFonts w:hint="eastAsia"/>
          <w:sz w:val="24"/>
          <w:szCs w:val="24"/>
        </w:rPr>
        <w:t xml:space="preserve">mortgage loans, divided by quarters. </w:t>
      </w:r>
    </w:p>
    <w:p w:rsidR="00DB3BD1" w:rsidRPr="00896C0E" w:rsidRDefault="00DB3BD1" w:rsidP="00DB3BD1">
      <w:pPr>
        <w:pStyle w:val="NoSpacing"/>
        <w:rPr>
          <w:rFonts w:hint="eastAsia"/>
          <w:sz w:val="24"/>
          <w:szCs w:val="24"/>
        </w:rPr>
      </w:pPr>
    </w:p>
    <w:p w:rsidR="009C4DC2" w:rsidRDefault="00896C0E" w:rsidP="00DB3BD1">
      <w:pPr>
        <w:pStyle w:val="NoSpacing"/>
        <w:rPr>
          <w:sz w:val="24"/>
          <w:szCs w:val="24"/>
        </w:rPr>
      </w:pPr>
      <w:r>
        <w:rPr>
          <w:rFonts w:hint="eastAsia"/>
          <w:sz w:val="24"/>
          <w:szCs w:val="24"/>
        </w:rPr>
        <w:t>Simple</w:t>
      </w:r>
      <w:r w:rsidR="009C4DC2">
        <w:rPr>
          <w:rFonts w:hint="eastAsia"/>
          <w:sz w:val="24"/>
          <w:szCs w:val="24"/>
        </w:rPr>
        <w:t xml:space="preserve"> Analysis</w:t>
      </w:r>
    </w:p>
    <w:p w:rsidR="00DB3BD1" w:rsidRPr="00896C0E" w:rsidRDefault="00896C0E" w:rsidP="00DB3BD1">
      <w:pPr>
        <w:pStyle w:val="NoSpacing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Data for each quarter is split into two file</w:t>
      </w:r>
      <w:r w:rsidR="00021968">
        <w:rPr>
          <w:rFonts w:hint="eastAsia"/>
          <w:sz w:val="24"/>
          <w:szCs w:val="24"/>
        </w:rPr>
        <w:t xml:space="preserve">s: Acquisitions and Performance, containing 24 and 29 variables respectively. </w:t>
      </w:r>
      <w:r>
        <w:rPr>
          <w:rFonts w:hint="eastAsia"/>
          <w:sz w:val="24"/>
          <w:szCs w:val="24"/>
        </w:rPr>
        <w:t xml:space="preserve">First, a </w:t>
      </w:r>
      <w:proofErr w:type="spellStart"/>
      <w:r>
        <w:rPr>
          <w:rFonts w:hint="eastAsia"/>
          <w:sz w:val="24"/>
          <w:szCs w:val="24"/>
        </w:rPr>
        <w:t>logit</w:t>
      </w:r>
      <w:proofErr w:type="spellEnd"/>
      <w:r>
        <w:rPr>
          <w:rFonts w:hint="eastAsia"/>
          <w:sz w:val="24"/>
          <w:szCs w:val="24"/>
        </w:rPr>
        <w:t xml:space="preserve"> model can be created for predicting the probability of a default based on </w:t>
      </w:r>
      <w:r w:rsidR="00021968">
        <w:rPr>
          <w:rFonts w:hint="eastAsia"/>
          <w:sz w:val="24"/>
          <w:szCs w:val="24"/>
        </w:rPr>
        <w:t>predictors</w:t>
      </w:r>
      <w:r>
        <w:rPr>
          <w:rFonts w:hint="eastAsia"/>
          <w:sz w:val="24"/>
          <w:szCs w:val="24"/>
        </w:rPr>
        <w:t xml:space="preserve"> such as Loan-to-Value ratio, Debt-to-Income ratio, Credit Score, Property Type, etc. Other models, such as Linear </w:t>
      </w:r>
      <w:proofErr w:type="spellStart"/>
      <w:r>
        <w:rPr>
          <w:rFonts w:hint="eastAsia"/>
          <w:sz w:val="24"/>
          <w:szCs w:val="24"/>
        </w:rPr>
        <w:t>Discriminant</w:t>
      </w:r>
      <w:proofErr w:type="spellEnd"/>
      <w:r>
        <w:rPr>
          <w:rFonts w:hint="eastAsia"/>
          <w:sz w:val="24"/>
          <w:szCs w:val="24"/>
        </w:rPr>
        <w:t xml:space="preserve"> Analysis and Nonparametric tree models could also be used. Since </w:t>
      </w:r>
      <w:r w:rsidR="009C4DC2">
        <w:rPr>
          <w:sz w:val="24"/>
          <w:szCs w:val="24"/>
        </w:rPr>
        <w:t>not all of the</w:t>
      </w:r>
      <w:r>
        <w:rPr>
          <w:rFonts w:hint="eastAsia"/>
          <w:sz w:val="24"/>
          <w:szCs w:val="24"/>
        </w:rPr>
        <w:t xml:space="preserve"> loans in the dataset have reached the maturity date, 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s </w:t>
      </w:r>
      <w:r w:rsidR="009C4DC2">
        <w:rPr>
          <w:sz w:val="24"/>
          <w:szCs w:val="24"/>
        </w:rPr>
        <w:t>uncertain if</w:t>
      </w:r>
      <w:r>
        <w:rPr>
          <w:rFonts w:hint="eastAsia"/>
          <w:sz w:val="24"/>
          <w:szCs w:val="24"/>
        </w:rPr>
        <w:t xml:space="preserve"> loans that are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good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currently will not default in the future. However, it is still possible</w:t>
      </w:r>
      <w:r w:rsidR="00021968">
        <w:rPr>
          <w:rFonts w:hint="eastAsia"/>
          <w:sz w:val="24"/>
          <w:szCs w:val="24"/>
        </w:rPr>
        <w:t xml:space="preserve"> to create models for a fixed time period and answer questions such as </w:t>
      </w:r>
      <w:r w:rsidR="00021968">
        <w:rPr>
          <w:sz w:val="24"/>
          <w:szCs w:val="24"/>
        </w:rPr>
        <w:t>“</w:t>
      </w:r>
      <w:r w:rsidR="00021968">
        <w:rPr>
          <w:rFonts w:hint="eastAsia"/>
          <w:sz w:val="24"/>
          <w:szCs w:val="24"/>
        </w:rPr>
        <w:t>What is t</w:t>
      </w:r>
      <w:r w:rsidR="001271FE">
        <w:rPr>
          <w:rFonts w:hint="eastAsia"/>
          <w:sz w:val="24"/>
          <w:szCs w:val="24"/>
        </w:rPr>
        <w:t xml:space="preserve">he probability of a default in </w:t>
      </w:r>
      <w:r w:rsidR="001271FE">
        <w:rPr>
          <w:sz w:val="24"/>
          <w:szCs w:val="24"/>
        </w:rPr>
        <w:t>5</w:t>
      </w:r>
      <w:r w:rsidR="001271FE">
        <w:rPr>
          <w:rFonts w:hint="eastAsia"/>
          <w:sz w:val="24"/>
          <w:szCs w:val="24"/>
        </w:rPr>
        <w:t xml:space="preserve"> years? </w:t>
      </w:r>
      <w:r w:rsidR="001271FE">
        <w:rPr>
          <w:sz w:val="24"/>
          <w:szCs w:val="24"/>
        </w:rPr>
        <w:t>7</w:t>
      </w:r>
      <w:r w:rsidR="00021968">
        <w:rPr>
          <w:rFonts w:hint="eastAsia"/>
          <w:sz w:val="24"/>
          <w:szCs w:val="24"/>
        </w:rPr>
        <w:t xml:space="preserve"> years?</w:t>
      </w:r>
      <w:r w:rsidR="00021968">
        <w:rPr>
          <w:sz w:val="24"/>
          <w:szCs w:val="24"/>
        </w:rPr>
        <w:t>”</w:t>
      </w:r>
    </w:p>
    <w:p w:rsidR="00896C0E" w:rsidRPr="00896C0E" w:rsidRDefault="00896C0E" w:rsidP="00DB3BD1">
      <w:pPr>
        <w:pStyle w:val="NoSpacing"/>
        <w:rPr>
          <w:rFonts w:hint="eastAsia"/>
          <w:sz w:val="24"/>
          <w:szCs w:val="24"/>
        </w:rPr>
      </w:pPr>
    </w:p>
    <w:p w:rsidR="009C4DC2" w:rsidRDefault="009C4DC2" w:rsidP="00DB3BD1">
      <w:pPr>
        <w:pStyle w:val="NoSpacing"/>
        <w:rPr>
          <w:sz w:val="24"/>
          <w:szCs w:val="24"/>
        </w:rPr>
      </w:pPr>
      <w:r>
        <w:rPr>
          <w:rFonts w:hint="eastAsia"/>
          <w:sz w:val="24"/>
          <w:szCs w:val="24"/>
        </w:rPr>
        <w:t>More Complicated Analysis</w:t>
      </w:r>
    </w:p>
    <w:p w:rsidR="00BB6364" w:rsidRPr="00896C0E" w:rsidRDefault="009C4DC2" w:rsidP="00DB3B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sensitivity analysis could be performed for</w:t>
      </w:r>
      <w:r w:rsidR="005353EE">
        <w:rPr>
          <w:rFonts w:hint="eastAsia"/>
          <w:sz w:val="24"/>
          <w:szCs w:val="24"/>
        </w:rPr>
        <w:t xml:space="preserve"> factors such as</w:t>
      </w:r>
      <w:r w:rsidR="005353EE">
        <w:rPr>
          <w:sz w:val="24"/>
          <w:szCs w:val="24"/>
        </w:rPr>
        <w:t xml:space="preserve"> Loan-to-Value or Debt-to-Income</w:t>
      </w:r>
      <w:r w:rsidR="005353EE">
        <w:rPr>
          <w:rFonts w:hint="eastAsia"/>
          <w:sz w:val="24"/>
          <w:szCs w:val="24"/>
        </w:rPr>
        <w:t xml:space="preserve"> ratio,</w:t>
      </w:r>
      <w:r w:rsidR="005353EE">
        <w:rPr>
          <w:sz w:val="24"/>
          <w:szCs w:val="24"/>
        </w:rPr>
        <w:t xml:space="preserve"> since if the cost of retaining a home is too high borrowers may choose to switch to renting instead</w:t>
      </w:r>
      <w:r>
        <w:rPr>
          <w:sz w:val="24"/>
          <w:szCs w:val="24"/>
        </w:rPr>
        <w:t xml:space="preserve"> (signaled by a default)</w:t>
      </w:r>
      <w:r w:rsidR="005353EE">
        <w:rPr>
          <w:sz w:val="24"/>
          <w:szCs w:val="24"/>
        </w:rPr>
        <w:t xml:space="preserve">. </w:t>
      </w:r>
      <w:r w:rsidR="00F4335E">
        <w:rPr>
          <w:sz w:val="24"/>
          <w:szCs w:val="24"/>
        </w:rPr>
        <w:t xml:space="preserve">In </w:t>
      </w:r>
      <w:r w:rsidR="00B04045">
        <w:rPr>
          <w:sz w:val="24"/>
          <w:szCs w:val="24"/>
        </w:rPr>
        <w:t>addition, the dataset categorizes</w:t>
      </w:r>
      <w:r w:rsidR="00F4335E">
        <w:rPr>
          <w:sz w:val="24"/>
          <w:szCs w:val="24"/>
        </w:rPr>
        <w:t xml:space="preserve"> the loans based on property type such as Single-Family, Condominium, Planned Urban Development, etc. </w:t>
      </w:r>
      <w:r>
        <w:rPr>
          <w:sz w:val="24"/>
          <w:szCs w:val="24"/>
        </w:rPr>
        <w:t xml:space="preserve">Different </w:t>
      </w:r>
      <w:r w:rsidR="00F4335E">
        <w:rPr>
          <w:sz w:val="24"/>
          <w:szCs w:val="24"/>
        </w:rPr>
        <w:t xml:space="preserve">types of loans </w:t>
      </w:r>
      <w:r>
        <w:rPr>
          <w:sz w:val="24"/>
          <w:szCs w:val="24"/>
        </w:rPr>
        <w:t xml:space="preserve">could be compared to test for the presence of an “Endowment Effect”, where borrowers may be more willing to pay to keep a residential property, holding other factors such as interest rate and principal constant. Finally, </w:t>
      </w:r>
      <w:r w:rsidR="00B84928">
        <w:rPr>
          <w:sz w:val="24"/>
          <w:szCs w:val="24"/>
        </w:rPr>
        <w:t>because the Performance dataset includes data for each loan from the starting date up to the current payment period</w:t>
      </w:r>
      <w:r w:rsidR="001271FE">
        <w:rPr>
          <w:sz w:val="24"/>
          <w:szCs w:val="24"/>
        </w:rPr>
        <w:t xml:space="preserve"> (</w:t>
      </w:r>
      <w:r w:rsidR="00071134">
        <w:rPr>
          <w:sz w:val="24"/>
          <w:szCs w:val="24"/>
        </w:rPr>
        <w:t>somewhat like</w:t>
      </w:r>
      <w:r w:rsidR="001271FE">
        <w:rPr>
          <w:sz w:val="24"/>
          <w:szCs w:val="24"/>
        </w:rPr>
        <w:t xml:space="preserve"> individual time series data)</w:t>
      </w:r>
      <w:r w:rsidR="00B84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Monte Carlo simulation </w:t>
      </w:r>
      <w:r w:rsidR="00B84928">
        <w:rPr>
          <w:sz w:val="24"/>
          <w:szCs w:val="24"/>
        </w:rPr>
        <w:t>could be perf</w:t>
      </w:r>
      <w:r w:rsidR="00CE7D4B">
        <w:rPr>
          <w:sz w:val="24"/>
          <w:szCs w:val="24"/>
        </w:rPr>
        <w:t xml:space="preserve">ormed to analyze value at risk or survival time/failure rates. </w:t>
      </w:r>
    </w:p>
    <w:p w:rsidR="00D272EB" w:rsidRPr="00896C0E" w:rsidRDefault="00D272EB" w:rsidP="00D272EB">
      <w:pPr>
        <w:pStyle w:val="NoSpacing"/>
        <w:rPr>
          <w:sz w:val="24"/>
          <w:szCs w:val="24"/>
        </w:rPr>
      </w:pPr>
    </w:p>
    <w:p w:rsidR="009C4DC2" w:rsidRDefault="00BB6364" w:rsidP="00BB6364">
      <w:pPr>
        <w:pStyle w:val="NoSpacing"/>
        <w:rPr>
          <w:sz w:val="24"/>
          <w:szCs w:val="24"/>
        </w:rPr>
      </w:pPr>
      <w:r w:rsidRPr="00896C0E">
        <w:rPr>
          <w:sz w:val="24"/>
          <w:szCs w:val="24"/>
        </w:rPr>
        <w:t xml:space="preserve">Data Sources: </w:t>
      </w:r>
    </w:p>
    <w:p w:rsidR="00D272EB" w:rsidRPr="00896C0E" w:rsidRDefault="00BB6364" w:rsidP="00BB6364">
      <w:pPr>
        <w:pStyle w:val="NoSpacing"/>
        <w:rPr>
          <w:sz w:val="24"/>
          <w:szCs w:val="24"/>
        </w:rPr>
      </w:pPr>
      <w:r w:rsidRPr="00896C0E">
        <w:rPr>
          <w:sz w:val="24"/>
          <w:szCs w:val="24"/>
          <w:shd w:val="clear" w:color="auto" w:fill="FFFFFF"/>
        </w:rPr>
        <w:t>Fannie Mae Single-Family Loan Performance Data</w:t>
      </w:r>
    </w:p>
    <w:p w:rsidR="00D272EB" w:rsidRPr="00896C0E" w:rsidRDefault="00BB6364" w:rsidP="00D272EB">
      <w:pPr>
        <w:pStyle w:val="NoSpacing"/>
        <w:rPr>
          <w:sz w:val="24"/>
          <w:szCs w:val="24"/>
        </w:rPr>
      </w:pPr>
      <w:hyperlink r:id="rId4" w:history="1">
        <w:r w:rsidRPr="00896C0E">
          <w:rPr>
            <w:rStyle w:val="Hyperlink"/>
            <w:sz w:val="24"/>
            <w:szCs w:val="24"/>
          </w:rPr>
          <w:t>http://www.fanniemae.com/portal/funding-the-market/data/loan-performance-data.html</w:t>
        </w:r>
      </w:hyperlink>
    </w:p>
    <w:p w:rsidR="00BB6364" w:rsidRPr="00896C0E" w:rsidRDefault="00BB6364" w:rsidP="00D272EB">
      <w:pPr>
        <w:pStyle w:val="NoSpacing"/>
        <w:rPr>
          <w:sz w:val="24"/>
          <w:szCs w:val="24"/>
        </w:rPr>
      </w:pPr>
    </w:p>
    <w:p w:rsidR="00D272EB" w:rsidRPr="00896C0E" w:rsidRDefault="00D272EB" w:rsidP="00D272EB">
      <w:pPr>
        <w:pStyle w:val="NoSpacing"/>
        <w:rPr>
          <w:sz w:val="24"/>
          <w:szCs w:val="24"/>
        </w:rPr>
      </w:pPr>
      <w:r w:rsidRPr="00896C0E">
        <w:rPr>
          <w:sz w:val="24"/>
          <w:szCs w:val="24"/>
        </w:rPr>
        <w:t xml:space="preserve">Preliminary </w:t>
      </w:r>
      <w:r w:rsidR="009E39C6">
        <w:rPr>
          <w:sz w:val="24"/>
          <w:szCs w:val="24"/>
        </w:rPr>
        <w:t>Research:</w:t>
      </w:r>
    </w:p>
    <w:p w:rsidR="00BB6364" w:rsidRPr="00896C0E" w:rsidRDefault="00D272EB" w:rsidP="00BB6364">
      <w:pPr>
        <w:pStyle w:val="NoSpacing"/>
        <w:rPr>
          <w:sz w:val="24"/>
          <w:szCs w:val="24"/>
        </w:rPr>
      </w:pPr>
      <w:r w:rsidRPr="00896C0E">
        <w:rPr>
          <w:sz w:val="24"/>
          <w:szCs w:val="24"/>
        </w:rPr>
        <w:t xml:space="preserve">[1] </w:t>
      </w:r>
      <w:hyperlink r:id="rId5" w:history="1">
        <w:r w:rsidR="00BB6364" w:rsidRPr="00896C0E">
          <w:rPr>
            <w:rStyle w:val="Hyperlink"/>
            <w:sz w:val="24"/>
            <w:szCs w:val="24"/>
          </w:rPr>
          <w:t>http://www.nber.org/papers/w17516.pdf</w:t>
        </w:r>
      </w:hyperlink>
    </w:p>
    <w:p w:rsidR="00B84928" w:rsidRDefault="00BB6364" w:rsidP="00BB6364">
      <w:pPr>
        <w:pStyle w:val="NoSpacing"/>
        <w:rPr>
          <w:sz w:val="24"/>
          <w:szCs w:val="24"/>
        </w:rPr>
      </w:pPr>
      <w:proofErr w:type="gramStart"/>
      <w:r w:rsidRPr="00896C0E">
        <w:rPr>
          <w:sz w:val="24"/>
          <w:szCs w:val="24"/>
        </w:rPr>
        <w:t>JOHN Y. CAMPBELL &amp; JOÃO F. COCCO, 2015.</w:t>
      </w:r>
      <w:proofErr w:type="gramEnd"/>
      <w:r w:rsidRPr="00896C0E">
        <w:rPr>
          <w:sz w:val="24"/>
          <w:szCs w:val="24"/>
        </w:rPr>
        <w:t xml:space="preserve"> "</w:t>
      </w:r>
      <w:hyperlink r:id="rId6" w:history="1">
        <w:r w:rsidRPr="00896C0E">
          <w:rPr>
            <w:rStyle w:val="Hyperlink"/>
            <w:color w:val="auto"/>
            <w:sz w:val="24"/>
            <w:szCs w:val="24"/>
            <w:u w:val="none"/>
          </w:rPr>
          <w:t>A Model of Mortgage Default,</w:t>
        </w:r>
      </w:hyperlink>
      <w:r w:rsidRPr="00896C0E">
        <w:rPr>
          <w:sz w:val="24"/>
          <w:szCs w:val="24"/>
        </w:rPr>
        <w:t xml:space="preserve">" The Journal of Finance, </w:t>
      </w:r>
      <w:proofErr w:type="spellStart"/>
      <w:r w:rsidRPr="00896C0E">
        <w:rPr>
          <w:sz w:val="24"/>
          <w:szCs w:val="24"/>
        </w:rPr>
        <w:t>vol</w:t>
      </w:r>
      <w:proofErr w:type="spellEnd"/>
      <w:r w:rsidRPr="00896C0E">
        <w:rPr>
          <w:sz w:val="24"/>
          <w:szCs w:val="24"/>
        </w:rPr>
        <w:t xml:space="preserve"> 70(4), pages 1495-1554.</w:t>
      </w:r>
    </w:p>
    <w:p w:rsidR="009C4DC2" w:rsidRPr="00466B48" w:rsidRDefault="009C4DC2" w:rsidP="00BB6364">
      <w:pPr>
        <w:pStyle w:val="NoSpacing"/>
        <w:rPr>
          <w:sz w:val="24"/>
          <w:szCs w:val="24"/>
        </w:rPr>
      </w:pPr>
    </w:p>
    <w:p w:rsidR="00466B48" w:rsidRPr="00466B48" w:rsidRDefault="00466B48" w:rsidP="00466B48">
      <w:pPr>
        <w:pStyle w:val="NoSpacing"/>
        <w:rPr>
          <w:sz w:val="24"/>
          <w:szCs w:val="24"/>
        </w:rPr>
      </w:pPr>
      <w:r w:rsidRPr="00466B48">
        <w:rPr>
          <w:sz w:val="24"/>
          <w:szCs w:val="24"/>
        </w:rPr>
        <w:t xml:space="preserve">[2] </w:t>
      </w:r>
      <w:hyperlink r:id="rId7" w:history="1">
        <w:r w:rsidRPr="00466B48">
          <w:rPr>
            <w:rStyle w:val="Hyperlink"/>
            <w:sz w:val="24"/>
            <w:szCs w:val="24"/>
          </w:rPr>
          <w:t>http://www.nber.org/papers/w</w:t>
        </w:r>
        <w:r w:rsidRPr="00466B48">
          <w:rPr>
            <w:rStyle w:val="Hyperlink"/>
            <w:sz w:val="24"/>
            <w:szCs w:val="24"/>
          </w:rPr>
          <w:t>1</w:t>
        </w:r>
        <w:r w:rsidRPr="00466B48">
          <w:rPr>
            <w:rStyle w:val="Hyperlink"/>
            <w:sz w:val="24"/>
            <w:szCs w:val="24"/>
          </w:rPr>
          <w:t>3882.pdf</w:t>
        </w:r>
      </w:hyperlink>
    </w:p>
    <w:p w:rsidR="009C4DC2" w:rsidRPr="00466B48" w:rsidRDefault="009C4DC2" w:rsidP="00466B48">
      <w:pPr>
        <w:pStyle w:val="NoSpacing"/>
        <w:rPr>
          <w:sz w:val="24"/>
          <w:szCs w:val="24"/>
        </w:rPr>
      </w:pPr>
      <w:proofErr w:type="gramStart"/>
      <w:r w:rsidRPr="00466B48">
        <w:rPr>
          <w:sz w:val="24"/>
          <w:szCs w:val="24"/>
        </w:rPr>
        <w:t xml:space="preserve">Carmen M. Reinhart &amp; Kenneth S. </w:t>
      </w:r>
      <w:proofErr w:type="spellStart"/>
      <w:r w:rsidRPr="00466B48">
        <w:rPr>
          <w:sz w:val="24"/>
          <w:szCs w:val="24"/>
        </w:rPr>
        <w:t>Rogoff</w:t>
      </w:r>
      <w:proofErr w:type="spellEnd"/>
      <w:r w:rsidRPr="00466B48">
        <w:rPr>
          <w:sz w:val="24"/>
          <w:szCs w:val="24"/>
        </w:rPr>
        <w:t>, 2014.</w:t>
      </w:r>
      <w:proofErr w:type="gramEnd"/>
      <w:r w:rsidRPr="00466B48">
        <w:rPr>
          <w:sz w:val="24"/>
          <w:szCs w:val="24"/>
        </w:rPr>
        <w:t xml:space="preserve"> "</w:t>
      </w:r>
      <w:hyperlink r:id="rId8" w:history="1">
        <w:r w:rsidRPr="00466B48">
          <w:rPr>
            <w:rStyle w:val="Hyperlink"/>
            <w:color w:val="auto"/>
            <w:sz w:val="24"/>
            <w:szCs w:val="24"/>
            <w:u w:val="none"/>
          </w:rPr>
          <w:t>This Time is Different: A Panoramic View of Eight Centuries of Financial Crises,</w:t>
        </w:r>
      </w:hyperlink>
      <w:r w:rsidRPr="00466B48">
        <w:rPr>
          <w:sz w:val="24"/>
          <w:szCs w:val="24"/>
        </w:rPr>
        <w:t>" Annals of Economics and Finance, Society for AEF, vol. 15(2), pages 1065-1188, November.</w:t>
      </w:r>
    </w:p>
    <w:p w:rsidR="00BB6364" w:rsidRDefault="00BB6364">
      <w:pPr>
        <w:rPr>
          <w:sz w:val="24"/>
          <w:szCs w:val="24"/>
        </w:rPr>
      </w:pPr>
    </w:p>
    <w:p w:rsidR="00E77542" w:rsidRDefault="00E77542">
      <w:pPr>
        <w:rPr>
          <w:sz w:val="24"/>
          <w:szCs w:val="24"/>
        </w:rPr>
      </w:pPr>
      <w:r>
        <w:rPr>
          <w:sz w:val="24"/>
          <w:szCs w:val="24"/>
        </w:rPr>
        <w:t>[3]</w:t>
      </w:r>
      <w:r w:rsidRPr="00E77542">
        <w:t xml:space="preserve"> </w:t>
      </w:r>
      <w:hyperlink r:id="rId9" w:history="1">
        <w:r w:rsidRPr="004C29DE">
          <w:rPr>
            <w:rStyle w:val="Hyperlink"/>
            <w:sz w:val="24"/>
            <w:szCs w:val="24"/>
          </w:rPr>
          <w:t>http://www.fic.gov.bc.ca/pdf/fid/14-0877-sup.pdf</w:t>
        </w:r>
      </w:hyperlink>
    </w:p>
    <w:p w:rsidR="00E77542" w:rsidRDefault="009E39C6">
      <w:pPr>
        <w:rPr>
          <w:sz w:val="24"/>
          <w:szCs w:val="24"/>
        </w:rPr>
      </w:pPr>
      <w:proofErr w:type="spellStart"/>
      <w:r w:rsidRPr="009E39C6">
        <w:rPr>
          <w:sz w:val="24"/>
          <w:szCs w:val="24"/>
        </w:rPr>
        <w:t>Mingxin</w:t>
      </w:r>
      <w:proofErr w:type="spellEnd"/>
      <w:r w:rsidRPr="009E39C6">
        <w:rPr>
          <w:sz w:val="24"/>
          <w:szCs w:val="24"/>
        </w:rPr>
        <w:t xml:space="preserve"> Li, 2014.  </w:t>
      </w:r>
      <w:r w:rsidR="00E77542" w:rsidRPr="009E39C6">
        <w:rPr>
          <w:sz w:val="24"/>
          <w:szCs w:val="24"/>
        </w:rPr>
        <w:t>“Residential Mortgage Probability of Default Models and Methods”</w:t>
      </w:r>
    </w:p>
    <w:p w:rsidR="009E39C6" w:rsidRDefault="009E39C6">
      <w:pPr>
        <w:rPr>
          <w:sz w:val="24"/>
          <w:szCs w:val="24"/>
        </w:rPr>
      </w:pPr>
    </w:p>
    <w:p w:rsidR="009E39C6" w:rsidRDefault="009E39C6">
      <w:pPr>
        <w:rPr>
          <w:sz w:val="24"/>
          <w:szCs w:val="24"/>
        </w:rPr>
      </w:pPr>
      <w:r>
        <w:rPr>
          <w:sz w:val="24"/>
          <w:szCs w:val="24"/>
        </w:rPr>
        <w:t>[4]</w:t>
      </w:r>
      <w:r w:rsidRPr="009E39C6">
        <w:t xml:space="preserve"> </w:t>
      </w:r>
      <w:hyperlink r:id="rId10" w:history="1">
        <w:r w:rsidRPr="004C29DE">
          <w:rPr>
            <w:rStyle w:val="Hyperlink"/>
            <w:sz w:val="24"/>
            <w:szCs w:val="24"/>
          </w:rPr>
          <w:t>http://www.hkma.gov.hk/media/eng/publication-and-research/quarterly-bulletin/qb200412/fa3.pdf</w:t>
        </w:r>
      </w:hyperlink>
    </w:p>
    <w:p w:rsidR="009E39C6" w:rsidRDefault="009E39C6" w:rsidP="009E39C6">
      <w:pPr>
        <w:pStyle w:val="NoSpacing"/>
        <w:rPr>
          <w:sz w:val="24"/>
          <w:szCs w:val="24"/>
        </w:rPr>
      </w:pPr>
      <w:r w:rsidRPr="009E39C6">
        <w:rPr>
          <w:sz w:val="24"/>
          <w:szCs w:val="24"/>
        </w:rPr>
        <w:t xml:space="preserve">Wong, Jim and Fung, Laurence and Fong, Tom and </w:t>
      </w:r>
      <w:proofErr w:type="spellStart"/>
      <w:r w:rsidRPr="009E39C6">
        <w:rPr>
          <w:sz w:val="24"/>
          <w:szCs w:val="24"/>
        </w:rPr>
        <w:t>Sze</w:t>
      </w:r>
      <w:proofErr w:type="spellEnd"/>
      <w:r w:rsidRPr="009E39C6">
        <w:rPr>
          <w:sz w:val="24"/>
          <w:szCs w:val="24"/>
        </w:rPr>
        <w:t xml:space="preserve">, Angela, Residential Mortgage Default Risk in Hong Kong (November 2004). </w:t>
      </w:r>
    </w:p>
    <w:p w:rsidR="009E39C6" w:rsidRDefault="009E39C6" w:rsidP="009E39C6">
      <w:pPr>
        <w:pStyle w:val="NoSpacing"/>
        <w:rPr>
          <w:sz w:val="24"/>
          <w:szCs w:val="24"/>
        </w:rPr>
      </w:pPr>
    </w:p>
    <w:p w:rsidR="009E39C6" w:rsidRDefault="009E39C6" w:rsidP="009E39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[5]</w:t>
      </w:r>
      <w:r w:rsidRPr="009E39C6">
        <w:t xml:space="preserve"> </w:t>
      </w:r>
      <w:hyperlink r:id="rId11" w:history="1">
        <w:r w:rsidRPr="004C29DE">
          <w:rPr>
            <w:rStyle w:val="Hyperlink"/>
            <w:sz w:val="24"/>
            <w:szCs w:val="24"/>
          </w:rPr>
          <w:t>http://www.anderson.ucla.edu/faculty/eduardo.schwartz/articles/53.pdf</w:t>
        </w:r>
      </w:hyperlink>
    </w:p>
    <w:p w:rsidR="009E39C6" w:rsidRPr="00B84928" w:rsidRDefault="009E39C6" w:rsidP="009E39C6">
      <w:pPr>
        <w:pStyle w:val="NoSpacing"/>
        <w:rPr>
          <w:sz w:val="24"/>
          <w:szCs w:val="24"/>
          <w:shd w:val="clear" w:color="auto" w:fill="FFFFFF"/>
        </w:rPr>
      </w:pPr>
      <w:r w:rsidRPr="00B84928">
        <w:rPr>
          <w:sz w:val="24"/>
          <w:szCs w:val="24"/>
          <w:shd w:val="clear" w:color="auto" w:fill="FFFFFF"/>
        </w:rPr>
        <w:t xml:space="preserve">Schwartz, E. S. and </w:t>
      </w:r>
      <w:proofErr w:type="spellStart"/>
      <w:r w:rsidRPr="00B84928">
        <w:rPr>
          <w:sz w:val="24"/>
          <w:szCs w:val="24"/>
          <w:shd w:val="clear" w:color="auto" w:fill="FFFFFF"/>
        </w:rPr>
        <w:t>Torous</w:t>
      </w:r>
      <w:proofErr w:type="spellEnd"/>
      <w:r w:rsidRPr="00B84928">
        <w:rPr>
          <w:sz w:val="24"/>
          <w:szCs w:val="24"/>
          <w:shd w:val="clear" w:color="auto" w:fill="FFFFFF"/>
        </w:rPr>
        <w:t>, W. N. (1993), Mortgage Prepayment and Default Decisions: A Poisson Regression Approach. Real Estate Economics, 21: 431–449. doi:10.1111/1540-6229.00619</w:t>
      </w:r>
    </w:p>
    <w:p w:rsidR="009E39C6" w:rsidRPr="009E39C6" w:rsidRDefault="009E39C6" w:rsidP="009E39C6">
      <w:pPr>
        <w:pStyle w:val="NoSpacing"/>
        <w:rPr>
          <w:sz w:val="24"/>
          <w:szCs w:val="24"/>
        </w:rPr>
      </w:pPr>
    </w:p>
    <w:sectPr w:rsidR="009E39C6" w:rsidRPr="009E39C6" w:rsidSect="00B8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D272EB"/>
    <w:rsid w:val="00021968"/>
    <w:rsid w:val="00071134"/>
    <w:rsid w:val="001271FE"/>
    <w:rsid w:val="002935B0"/>
    <w:rsid w:val="00466B48"/>
    <w:rsid w:val="005353EE"/>
    <w:rsid w:val="00575572"/>
    <w:rsid w:val="00633E53"/>
    <w:rsid w:val="00695F91"/>
    <w:rsid w:val="00896C0E"/>
    <w:rsid w:val="009C4DC2"/>
    <w:rsid w:val="009E39C6"/>
    <w:rsid w:val="00B04045"/>
    <w:rsid w:val="00B84928"/>
    <w:rsid w:val="00B94B14"/>
    <w:rsid w:val="00BB6364"/>
    <w:rsid w:val="00CE7D4B"/>
    <w:rsid w:val="00D272EB"/>
    <w:rsid w:val="00DB3BD1"/>
    <w:rsid w:val="00E77101"/>
    <w:rsid w:val="00E77542"/>
    <w:rsid w:val="00F4335E"/>
    <w:rsid w:val="00FC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14"/>
  </w:style>
  <w:style w:type="paragraph" w:styleId="Heading1">
    <w:name w:val="heading 1"/>
    <w:basedOn w:val="Normal"/>
    <w:link w:val="Heading1Char"/>
    <w:uiPriority w:val="9"/>
    <w:qFormat/>
    <w:rsid w:val="00DB3B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B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2EB"/>
  </w:style>
  <w:style w:type="character" w:styleId="Hyperlink">
    <w:name w:val="Hyperlink"/>
    <w:basedOn w:val="DefaultParagraphFont"/>
    <w:uiPriority w:val="99"/>
    <w:unhideWhenUsed/>
    <w:rsid w:val="00D272E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272EB"/>
  </w:style>
  <w:style w:type="character" w:customStyle="1" w:styleId="Heading1Char">
    <w:name w:val="Heading 1 Char"/>
    <w:basedOn w:val="DefaultParagraphFont"/>
    <w:link w:val="Heading1"/>
    <w:uiPriority w:val="9"/>
    <w:rsid w:val="00DB3B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66B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s.repec.org/a/cuf/journl/y2015v16i1reinhartrogoff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ber.org/papers/w1388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1111/jofi.12252" TargetMode="External"/><Relationship Id="rId11" Type="http://schemas.openxmlformats.org/officeDocument/2006/relationships/hyperlink" Target="http://www.anderson.ucla.edu/faculty/eduardo.schwartz/articles/53.pdf" TargetMode="External"/><Relationship Id="rId5" Type="http://schemas.openxmlformats.org/officeDocument/2006/relationships/hyperlink" Target="http://www.nber.org/papers/w17516.pdf" TargetMode="External"/><Relationship Id="rId10" Type="http://schemas.openxmlformats.org/officeDocument/2006/relationships/hyperlink" Target="http://www.hkma.gov.hk/media/eng/publication-and-research/quarterly-bulletin/qb200412/fa3.pdf" TargetMode="External"/><Relationship Id="rId4" Type="http://schemas.openxmlformats.org/officeDocument/2006/relationships/hyperlink" Target="http://www.fanniemae.com/portal/funding-the-market/data/loan-performance-data.html" TargetMode="External"/><Relationship Id="rId9" Type="http://schemas.openxmlformats.org/officeDocument/2006/relationships/hyperlink" Target="http://www.fic.gov.bc.ca/pdf/fid/14-0877-su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9</cp:revision>
  <dcterms:created xsi:type="dcterms:W3CDTF">2016-08-28T22:17:00Z</dcterms:created>
  <dcterms:modified xsi:type="dcterms:W3CDTF">2016-08-29T18:41:00Z</dcterms:modified>
</cp:coreProperties>
</file>